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10.419921875" w:line="240" w:lineRule="auto"/>
        <w:ind w:left="83.0943679809570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528441" cy="936104"/>
            <wp:effectExtent b="0" l="0" r="0" t="0"/>
            <wp:docPr id="8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28441" cy="9361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5923725</wp:posOffset>
            </wp:positionH>
            <wp:positionV relativeFrom="paragraph">
              <wp:posOffset>-241566</wp:posOffset>
            </wp:positionV>
            <wp:extent cx="2987802" cy="2492883"/>
            <wp:effectExtent b="0" l="0" r="0" t="0"/>
            <wp:wrapSquare wrapText="left" distB="19050" distT="19050" distL="19050" distR="1905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7802" cy="249288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2.4127197265625" w:line="240" w:lineRule="auto"/>
        <w:ind w:left="711.314468383789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ENSEIGNEMENT PARAMEDICAL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58.280029296875" w:line="237.98810005187988" w:lineRule="auto"/>
        <w:ind w:left="835.1543426513672" w:right="824.63867187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96"/>
          <w:szCs w:val="9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96"/>
          <w:szCs w:val="96"/>
          <w:u w:val="none"/>
          <w:shd w:fill="auto" w:val="clear"/>
          <w:vertAlign w:val="baseline"/>
          <w:rtl w:val="0"/>
        </w:rPr>
        <w:t xml:space="preserve">Pathologie de l’Hémostase  et de la coagulation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1.7276000976562" w:line="240" w:lineRule="auto"/>
        <w:ind w:left="4905.93910217285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Pr Fernini. F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.93341064453125" w:line="240" w:lineRule="auto"/>
        <w:ind w:left="5436.874160766602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17375e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17375e"/>
          <w:sz w:val="48"/>
          <w:szCs w:val="48"/>
          <w:u w:val="none"/>
          <w:shd w:fill="auto" w:val="clear"/>
          <w:vertAlign w:val="baseline"/>
          <w:rtl w:val="0"/>
        </w:rPr>
        <w:t xml:space="preserve">20/01/2021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522.570571899414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L'hémostase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1.3330078125" w:line="215.92373371124268" w:lineRule="auto"/>
        <w:ind w:left="1118.5588836669922" w:right="1086.795654296875" w:hanging="541.104431152343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L'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hémostase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est l'ensemble des mécanismes qui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concourent à maintenir le sang à l'état fluide à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l'intérieur des vaisseaux (soit arrêter les  hémorragies et empêcher les thromboses).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9.9810791015625" w:line="239.90396976470947" w:lineRule="auto"/>
        <w:ind w:left="580.1544189453125" w:right="1949.881591796875" w:firstLine="155.40000915527344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Acteurs qui interviennent dans l’hémostase: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-Paroi vasculaire (cellules endothéliales,  fibroblastes)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.95623779296875" w:line="263.80794525146484" w:lineRule="auto"/>
        <w:ind w:left="580.1544189453125" w:right="2556.97021484375" w:firstLine="0.02593994140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  <w:sectPr>
          <w:pgSz w:h="10800" w:w="14400" w:orient="landscape"/>
          <w:pgMar w:bottom="1.2208000043756329E-4" w:top="0" w:left="313.00559997558594" w:right="0" w:header="0" w:footer="720"/>
          <w:pgNumType w:start="1"/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- Cellules sanguines (plaquettes, monocytes)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- Protéines plasmatiques de la coagulation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.14419555664062" w:lineRule="auto"/>
        <w:ind w:left="196.7975616455078" w:right="186.8228149414062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Physiologie  de 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.7730712890625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l’Hémostase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83.919677734375" w:line="240" w:lineRule="auto"/>
        <w:ind w:left="0" w:right="28.830566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ffffff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Lésion vasculaire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ffffff"/>
          <w:sz w:val="36"/>
          <w:szCs w:val="36"/>
          <w:u w:val="none"/>
          <w:shd w:fill="auto" w:val="clear"/>
          <w:vertAlign w:val="baseline"/>
          <w:rtl w:val="0"/>
        </w:rPr>
        <w:t xml:space="preserve">l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7.760009765625" w:line="240" w:lineRule="auto"/>
        <w:ind w:left="0" w:right="527.6580810546875" w:firstLine="0"/>
        <w:jc w:val="righ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Hémorragie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0.6402587890625" w:line="240" w:lineRule="auto"/>
        <w:ind w:left="0" w:right="492.5787353515625" w:firstLine="0"/>
        <w:jc w:val="righ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414.85923767089844" w:right="4413.9715576171875" w:header="0" w:footer="720"/>
          <w:cols w:equalWidth="0" w:num="2">
            <w:col w:space="0" w:w="4800"/>
            <w:col w:space="0" w:w="4800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Hémostase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40.9600830078125" w:line="240" w:lineRule="auto"/>
        <w:ind w:left="0" w:right="742.962646484375" w:firstLine="0"/>
        <w:jc w:val="righ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313.00559997558594" w:right="0" w:header="0" w:footer="720"/>
          <w:cols w:equalWidth="0" w:num="1">
            <w:col w:space="0" w:w="14086.994400024414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Primaire Secondaire Fibrinolyse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72.0803833007812" w:line="239.85065460205078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  <w:rtl w:val="0"/>
        </w:rPr>
        <w:t xml:space="preserve">Vasoconstriction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du vaisseau lésé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.40020751953125" w:line="239.85965251922607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Formation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  <w:rtl w:val="0"/>
        </w:rPr>
        <w:t xml:space="preserve">du clou 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0904541015625" w:line="240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plaquettaire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6.99100494384766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Formation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d’un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caillot sanguin 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6.99100494384766" w:lineRule="auto"/>
        <w:ind w:left="0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469.09679412841797" w:right="418.480224609375" w:header="0" w:footer="720"/>
          <w:cols w:equalWidth="0" w:num="4">
            <w:col w:space="0" w:w="3380"/>
            <w:col w:space="0" w:w="3380"/>
            <w:col w:space="0" w:w="3380"/>
            <w:col w:space="0" w:w="3380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Dissolution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du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caillot sanguin 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19.2115783691406" w:line="239.9040126800537" w:lineRule="auto"/>
        <w:ind w:left="0" w:right="276.56005859375" w:firstLine="6.8399810791015625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Arrêt de l’écoulement ds les petits vx et ralentis sement ds les gros vx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4.16000366210938" w:line="240" w:lineRule="auto"/>
        <w:ind w:left="0" w:right="933.69140625" w:firstLine="0"/>
        <w:jc w:val="righ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Arrêt de  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186126708984375" w:line="240" w:lineRule="auto"/>
        <w:ind w:left="0" w:right="42.4407958984375" w:firstLine="0"/>
        <w:jc w:val="righ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l’écoulement sanguin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87997436523438" w:line="240.62230110168457" w:lineRule="auto"/>
        <w:ind w:left="772.2802734375" w:right="56.558837890625" w:firstLine="184.23583984375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435.7200241088867" w:right="160.838623046875" w:header="0" w:footer="720"/>
          <w:cols w:equalWidth="0" w:num="3">
            <w:col w:space="0" w:w="4620"/>
            <w:col w:space="0" w:w="4620"/>
            <w:col w:space="0" w:w="4620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Rétablissemen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t de  la circulation sanguine 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628.2797813415527" w:lineRule="auto"/>
        <w:ind w:left="799.6699523925781" w:right="834.54589843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2.04800415039062"/>
          <w:szCs w:val="72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2.04800415039062"/>
          <w:szCs w:val="72.04800415039062"/>
          <w:u w:val="none"/>
          <w:shd w:fill="auto" w:val="clear"/>
          <w:vertAlign w:val="baseline"/>
          <w:rtl w:val="0"/>
        </w:rPr>
        <w:t xml:space="preserve">Hémostase secondaire et fibrinolyse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2.04800415039062"/>
          <w:szCs w:val="72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5200650" cy="3752850"/>
            <wp:effectExtent b="0" l="0" r="0" t="0"/>
            <wp:docPr id="9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752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74.238052368164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Hémophilie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4.1061401367188" w:line="239.02433395385742" w:lineRule="auto"/>
        <w:ind w:left="2198.2284545898438" w:right="2512.913818359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898989"/>
          <w:sz w:val="60.04800033569336"/>
          <w:szCs w:val="60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L’hémophilie est une maladie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hémorragique congénitale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,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héréditaire, touchant les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garçons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898989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Hémophilie  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7.3065185546875" w:line="215.63150882720947" w:lineRule="auto"/>
        <w:ind w:left="780.3000640869141" w:right="677.506103515625" w:hanging="553.3056640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Maladie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constitutionnelle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de transmission  héréditaire selon un mode récessif lié au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sexe , due au: 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2.05078125" w:line="265.8112049102783" w:lineRule="auto"/>
        <w:ind w:left="785.7144165039062" w:right="697.659912109375" w:hanging="558.7200164794922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Déficit en Facteur VIII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(Hémophilie A)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ou 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1903076171875" w:line="240" w:lineRule="auto"/>
        <w:ind w:left="226.9944000244140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Déficit en Facteur IX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(Hémophilie B) 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1.7062377929688" w:line="215.63188076019287" w:lineRule="auto"/>
        <w:ind w:left="799.5384216308594" w:right="559.356689453125" w:hanging="572.5440216064453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Hémophilie sporadique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dans environ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25 %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des cas (antécédents familiaux méconnus,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mutation de novo)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74.264602661133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Hémophilie 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1.026611328125" w:line="239.60829734802246" w:lineRule="auto"/>
        <w:ind w:left="1123.0583953857422" w:right="687.5146484375" w:hanging="572.0639801025391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Les gènes des facteurs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VIII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et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IX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sont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différents mais situés tous les deux sur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le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chromosome X </w:t>
      </w:r>
    </w:p>
    <w:p w:rsidR="00000000" w:rsidDel="00000000" w:rsidP="00000000" w:rsidRDefault="00000000" w:rsidRPr="00000000" w14:paraId="000000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18.392333984375" w:line="239.59588050842285" w:lineRule="auto"/>
        <w:ind w:left="1658.551025390625" w:right="1200.642089843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xpression clinique uniquement chez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les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hommes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et la transmission par les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b05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femmes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"dites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b05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conductrices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"</w:t>
      </w:r>
    </w:p>
    <w:p w:rsidR="00000000" w:rsidDel="00000000" w:rsidP="00000000" w:rsidRDefault="00000000" w:rsidRPr="00000000" w14:paraId="000000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59.0210723876953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3 Formes d’Hémophilie 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9.42626953125" w:line="288.7108898162842" w:lineRule="auto"/>
        <w:ind w:left="226.99440002441406" w:right="1815.660400390625" w:firstLine="587.8992462158203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Hémophilie majeure 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facteur &lt; 1%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Hémophilie modérée: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facteur (1 à 5%)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Hémophilie mineure: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facteur &gt; 5% 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65.2484130859375" w:line="240" w:lineRule="auto"/>
        <w:ind w:left="226.9944000244140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682.399978637695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Tableau clinique 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7.906494140625" w:line="215.9135627746582" w:lineRule="auto"/>
        <w:ind w:left="819.0744781494141" w:right="1158.40087890625" w:hanging="276.4801025390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-Identique dans les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2 types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d'Hémophilie A  ou B  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3.9361572265625" w:line="215.9071683883667" w:lineRule="auto"/>
        <w:ind w:left="810.6745147705078" w:right="447.39990234375" w:hanging="583.6801147460938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-Fréquence des manifestations hémorragiques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et leur intensité dépendent de la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sévérité du  déficit biologique 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4.4161987304688" w:line="215.9269380569458" w:lineRule="auto"/>
        <w:ind w:left="808.2744598388672" w:right="965.2001953125" w:hanging="581.2800598144531"/>
        <w:jc w:val="both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-Hémorragies habituellement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provoquées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et  surviennent par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poussées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avec des périodes  d'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accalmie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030.5802154541016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Forme majeure 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8.2537841796875" w:line="215.91339111328125" w:lineRule="auto"/>
        <w:ind w:left="226.99440002441406" w:right="845.31982421875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1ères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manifestations hémorragiques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suite à des  traumatismes minimes, dans la 1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superscript"/>
          <w:rtl w:val="0"/>
        </w:rPr>
        <w:t xml:space="preserve">ère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année de vie 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0.21484375" w:line="215.91363430023193" w:lineRule="auto"/>
        <w:ind w:left="787.9944610595703" w:right="512.34130859375" w:hanging="561.0000610351562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Hémarthroses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des articulations soumises à des  pressions importantes (chevilles, genoux, hanches)  ou peu protégées (poignets, coudes) 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0.0143432617188" w:line="215.9236478805542" w:lineRule="auto"/>
        <w:ind w:left="788.5344696044922" w:right="596.041259765625" w:hanging="561.5400695800781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Hématomes superficiels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et s'accompagnent  d'ecchymoses; se résorbent spontanément plus ou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moins vite. Plus dangereux sont les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hématomes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profonds 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49.5011138916016" w:line="240" w:lineRule="auto"/>
        <w:ind w:left="226.9944000244140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 Hématuries,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spontanées et récidivantes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740.8301544189453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313.00559997558594" w:right="0" w:header="0" w:footer="720"/>
          <w:cols w:equalWidth="0" w:num="1">
            <w:col w:space="0" w:w="14086.994400024414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Forme majeure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54.02587890625" w:line="215.89799880981445" w:lineRule="auto"/>
        <w:ind w:left="0" w:right="16.4385986328125" w:firstLine="10.10162353515625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Fig 1:volumineux hématome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du mollet chez un  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.611328125" w:line="240" w:lineRule="auto"/>
        <w:ind w:left="12.95997619628906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hémophile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7.8802490234375" w:line="215.9135913848877" w:lineRule="auto"/>
        <w:ind w:left="491.920166015625" w:right="4.759521484375" w:firstLine="9.599609375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665.2799987792969" w:right="659.47998046875" w:header="0" w:footer="720"/>
          <w:cols w:equalWidth="0" w:num="2">
            <w:col w:space="0" w:w="6540"/>
            <w:col w:space="0" w:w="6540"/>
          </w:cols>
        </w:sect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17375e"/>
          <w:sz w:val="48"/>
          <w:szCs w:val="48"/>
          <w:u w:val="none"/>
          <w:shd w:fill="auto" w:val="clear"/>
          <w:vertAlign w:val="baseline"/>
          <w:rtl w:val="0"/>
        </w:rPr>
        <w:t xml:space="preserve">Fig 2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:atteinte articulaire  sévère chez un jeune  hémophile.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82.952880859375" w:line="240" w:lineRule="auto"/>
        <w:ind w:left="0" w:right="0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4248531" cy="2803652"/>
            <wp:effectExtent b="0" l="0" r="0" t="0"/>
            <wp:docPr id="1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48531" cy="28036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  <w:drawing>
          <wp:inline distB="19050" distT="19050" distL="19050" distR="19050">
            <wp:extent cx="4248531" cy="2822702"/>
            <wp:effectExtent b="0" l="0" r="0" t="0"/>
            <wp:docPr id="16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48531" cy="28227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3.14598083496094" w:lineRule="auto"/>
        <w:ind w:left="1206.775131225586" w:right="1211.1010742187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Hémorragies moins spécifiques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Forme majeure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4.0570068359375" w:line="207.89958000183105" w:lineRule="auto"/>
        <w:ind w:left="1118.5588836669922" w:right="960.48095703125" w:hanging="567.5644683837891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Hémorragies provoquées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, cutanées par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coupure, buccales par morsure de langue,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postopératoires même pour des gestes minimes  (avulsion dentaire)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8.0401611328125" w:line="223.98449420928955" w:lineRule="auto"/>
        <w:ind w:left="550.9944152832031" w:right="869.8999023437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54"/>
          <w:szCs w:val="54"/>
          <w:u w:val="none"/>
          <w:shd w:fill="auto" w:val="clear"/>
          <w:vertAlign w:val="baseline"/>
          <w:rtl w:val="0"/>
        </w:rPr>
        <w:t xml:space="preserve">Hémorragies viscérales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moins fréquentes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🡪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Formes digestives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doivent faire rechercher  une lésion préexistante.  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.85467529296875" w:line="205.25818347930908" w:lineRule="auto"/>
        <w:ind w:left="1101.7943572998047" w:right="2182.076416015625" w:hanging="550.7999420166016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90"/>
          <w:szCs w:val="90"/>
          <w:u w:val="none"/>
          <w:shd w:fill="auto" w:val="clear"/>
          <w:vertAlign w:val="superscript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90"/>
          <w:szCs w:val="90"/>
          <w:u w:val="none"/>
          <w:shd w:fill="auto" w:val="clear"/>
          <w:vertAlign w:val="superscript"/>
          <w:rtl w:val="0"/>
        </w:rPr>
        <w:t xml:space="preserve">🡪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90"/>
          <w:szCs w:val="90"/>
          <w:u w:val="none"/>
          <w:shd w:fill="auto" w:val="clear"/>
          <w:vertAlign w:val="superscript"/>
          <w:rtl w:val="0"/>
        </w:rPr>
        <w:t xml:space="preserve">Focalisations intracrâniennes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90"/>
          <w:szCs w:val="90"/>
          <w:u w:val="none"/>
          <w:shd w:fill="auto" w:val="clear"/>
          <w:vertAlign w:val="superscript"/>
          <w:rtl w:val="0"/>
        </w:rPr>
        <w:t xml:space="preserve">post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.04800033569336"/>
          <w:szCs w:val="54.04800033569336"/>
          <w:u w:val="none"/>
          <w:shd w:fill="auto" w:val="clear"/>
          <w:vertAlign w:val="baseline"/>
          <w:rtl w:val="0"/>
        </w:rPr>
        <w:t xml:space="preserve">traumatiques à diagnostiquer et traiter en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4"/>
          <w:szCs w:val="54"/>
          <w:u w:val="none"/>
          <w:shd w:fill="auto" w:val="clear"/>
          <w:vertAlign w:val="baseline"/>
          <w:rtl w:val="0"/>
        </w:rPr>
        <w:t xml:space="preserve">urgence car risque de complications par  survenue d'une épilepsie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787.2618865966797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Formes modérées ou mineures 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1.4263916015625" w:line="239.60829734802246" w:lineRule="auto"/>
        <w:ind w:left="1124.9567413330078" w:right="1026.50634765625" w:hanging="573.9623260498047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Tableau clinique peut se résumer aux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hémorragies postopératoires ou suivant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un traumatisme important. 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7918701171875" w:line="239.66694831848145" w:lineRule="auto"/>
        <w:ind w:left="1117.907943725586" w:right="1844.156494140625" w:hanging="345.91430664062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Le diagnostic de la maladie peut donc  être fait à l'âge adulte, voire dans le  cadre d'un bilan systématique  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07574462890625" w:line="240" w:lineRule="auto"/>
        <w:ind w:left="1128.160781860351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préopératoire.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675.58540344238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Diagnostic biologique 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23.7060546875" w:line="240" w:lineRule="auto"/>
        <w:ind w:left="592.005615234375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Bilan biologique d'orientation </w:t>
      </w:r>
    </w:p>
    <w:p w:rsidR="00000000" w:rsidDel="00000000" w:rsidP="00000000" w:rsidRDefault="00000000" w:rsidRPr="00000000" w14:paraId="000000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1864013671875" w:line="240" w:lineRule="auto"/>
        <w:ind w:left="775.838394165039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Hémostase primaire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:  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3.7860107421875" w:line="239.64210033416748" w:lineRule="auto"/>
        <w:ind w:left="729.1349029541016" w:right="2047.762451171875" w:hanging="141.6149139404297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Temps de Saignement normal (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avec une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5.96799850463867"/>
          <w:szCs w:val="55.96799850463867"/>
          <w:u w:val="none"/>
          <w:shd w:fill="auto" w:val="clear"/>
          <w:vertAlign w:val="baseline"/>
          <w:rtl w:val="0"/>
        </w:rPr>
        <w:t xml:space="preserve">numération plaquettaire normale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)  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7418212890625" w:line="251.56883239746094" w:lineRule="auto"/>
        <w:ind w:left="608.0255889892578" w:right="1252.76245117187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Temps de Quick (TQ)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normal  •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Temps de Céphaline plus Activateur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allongé,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corrigé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par l'addition de plasma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témoin. le dosage des facteurs VIII et  IX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675.58540344238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Diagnostic biologique 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3.505859375" w:line="287.51132011413574" w:lineRule="auto"/>
        <w:ind w:left="226.99440002441406" w:right="2019.28466796875" w:firstLine="41.0111999511718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Bilan biologique de confirmation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Dosage des facteurs VIII et IX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Précise  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.24365234375" w:line="239.60439205169678" w:lineRule="auto"/>
        <w:ind w:left="792.6384735107422" w:right="1705.2392578125" w:hanging="565.6440734863281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- Type de l'hémophilie A (déficit en 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F.VIII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) ou B (déficit en F.IX)  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7.64251708984375" w:line="240" w:lineRule="auto"/>
        <w:ind w:left="226.9944000244140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- Degré ou sévérité de l'hémophilie 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9.90405559539795" w:lineRule="auto"/>
        <w:ind w:left="1598.834228515625" w:right="1543.4399414062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2"/>
          <w:szCs w:val="7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2"/>
          <w:szCs w:val="72"/>
          <w:u w:val="none"/>
          <w:shd w:fill="auto" w:val="clear"/>
          <w:vertAlign w:val="baseline"/>
          <w:rtl w:val="0"/>
        </w:rPr>
        <w:t xml:space="preserve">Diagnostic des conductrices et  diagnostic anté-natal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92.4468994140625" w:line="240.67425727844238" w:lineRule="auto"/>
        <w:ind w:left="676.5143585205078" w:right="839.19921875" w:hanging="562.7999496459961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72"/>
          <w:szCs w:val="7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Possibles dans certaines familles par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l'étude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de l'ADN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à partir d'un prélèvement sanguin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ou d'une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biopsie de trophoblaste 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6.1932373046875" w:line="239.88890647888184" w:lineRule="auto"/>
        <w:ind w:left="683.7143707275391" w:right="413.282470703125" w:hanging="569.9999618530273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.04800033569336"/>
          <w:szCs w:val="60.048000335693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Dans le cas d'une famille "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non informative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", le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dosage du F. VIII et du F. XI est possible sur  le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"/>
          <w:szCs w:val="60"/>
          <w:u w:val="none"/>
          <w:shd w:fill="auto" w:val="clear"/>
          <w:vertAlign w:val="baseline"/>
          <w:rtl w:val="0"/>
        </w:rPr>
        <w:t xml:space="preserve">sang du cordon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"/>
          <w:szCs w:val="60"/>
          <w:u w:val="none"/>
          <w:shd w:fill="auto" w:val="clear"/>
          <w:vertAlign w:val="baseline"/>
          <w:rtl w:val="0"/>
        </w:rPr>
        <w:t xml:space="preserve">prélevé sous échographie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dès le 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0.04800033569336"/>
          <w:szCs w:val="60.04800033569336"/>
          <w:u w:val="none"/>
          <w:shd w:fill="auto" w:val="clear"/>
          <w:vertAlign w:val="baseline"/>
          <w:rtl w:val="0"/>
        </w:rPr>
        <w:t xml:space="preserve">22ème semaine.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Traitement et prise en charge de l’hémophilie 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19.38720703125" w:line="240" w:lineRule="auto"/>
        <w:ind w:left="113.71440887451172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Traitement substitutif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+++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3.9056396484375" w:line="241.81941032409668" w:lineRule="auto"/>
        <w:ind w:left="714.554443359375" w:right="1325.86181640625" w:hanging="293.6400604248047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Traitements adjuvants spécifiques dans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des situations particulières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8.84521484375" w:line="239.7293186187744" w:lineRule="auto"/>
        <w:ind w:left="699.2111968994141" w:right="1292.49267578125" w:hanging="585.4967880249023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Traitement préventif des accidents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+++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hémorragiques 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50897216796875" w:line="285.5724048614502" w:lineRule="auto"/>
        <w:ind w:left="564.9143981933594" w:right="514.682617187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313.00559997558594" w:right="0" w:header="0" w:footer="720"/>
          <w:cols w:equalWidth="0" w:num="1">
            <w:col w:space="0" w:w="14086.994400024414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-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Règles de conduite en milieu médical  - PEC et éducation du patient et de sa famille  - Etablissement d'une carte d'hémophile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71.16882324218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Traitement 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1336669921875" w:line="240" w:lineRule="auto"/>
        <w:ind w:left="0" w:right="889.9700927734375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substitutif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3336181640625" w:line="240" w:lineRule="auto"/>
        <w:ind w:left="0" w:right="0" w:firstLine="0"/>
        <w:jc w:val="righ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  <w:drawing>
          <wp:inline distB="19050" distT="19050" distL="19050" distR="19050">
            <wp:extent cx="4752467" cy="4248531"/>
            <wp:effectExtent b="0" l="0" r="0" t="0"/>
            <wp:docPr id="2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52467" cy="424853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9.9040126800537" w:lineRule="auto"/>
        <w:ind w:left="273.3799743652344" w:right="0" w:hanging="2.5199890136718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CHO (cellule d’ovaire de hamster chinois;  BHK : cellules de rein de hamster  coréen; HEK : cellules embryonnaires  humaines.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53.5198974609375" w:line="239.40141677856445" w:lineRule="auto"/>
        <w:ind w:left="935.7623291015625" w:right="13.4130859375" w:hanging="0.3778076171875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L’intervention rapide accélère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la guérison et prévient les  dommages subséquents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. 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982.0269775390625" w:line="240" w:lineRule="auto"/>
        <w:ind w:left="0" w:right="1249.11132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La thérapie 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140625" w:line="240" w:lineRule="auto"/>
        <w:ind w:left="0" w:right="727.19482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génique : vers  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13232421875" w:line="240" w:lineRule="auto"/>
        <w:ind w:left="0" w:right="695.880126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la guérison de  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134521484375" w:line="240" w:lineRule="auto"/>
        <w:ind w:left="0" w:right="794.859619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509.4999694824219" w:right="703.91357421875" w:header="0" w:footer="720"/>
          <w:cols w:equalWidth="0" w:num="2">
            <w:col w:space="0" w:w="6600"/>
            <w:col w:space="0" w:w="66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55.91999816894531"/>
          <w:szCs w:val="55.91999816894531"/>
          <w:u w:val="none"/>
          <w:shd w:fill="auto" w:val="clear"/>
          <w:vertAlign w:val="baseline"/>
          <w:rtl w:val="0"/>
        </w:rPr>
        <w:t xml:space="preserve">l’hémophilie ? 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102.537612915039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Purpuras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316.137466430664" w:right="0" w:firstLine="0"/>
        <w:jc w:val="left"/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Purpura </w:t>
      </w:r>
    </w:p>
    <w:p w:rsidR="00000000" w:rsidDel="00000000" w:rsidP="00000000" w:rsidRDefault="00000000" w:rsidRPr="00000000" w14:paraId="000000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39.7064208984375" w:line="239.60439205169678" w:lineRule="auto"/>
        <w:ind w:left="815.5344390869141" w:right="413.876953125" w:hanging="588.5400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Toute lésion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rouge ou pourpre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ne s'effaçant pas à  la vitropression.  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7625732421875" w:line="240" w:lineRule="auto"/>
        <w:ind w:left="226.9944000244140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On distingue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le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purpura  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3.7060546875" w:line="263.60544204711914" w:lineRule="auto"/>
        <w:ind w:left="287.2296142578125" w:right="299.577636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Pétéchial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: éléments punctiformes le plus souvent  disposés sur les membres inférieurs +++  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Ecchymotique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: larges nappes bleu-violacé  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En vibices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: traînées linéaires surtout sur les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zones de friction ou de traction articulaire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356.86744689941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  <w:rtl w:val="0"/>
        </w:rPr>
        <w:t xml:space="preserve">Purpura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9.7998046875" w:line="204.01227951049805" w:lineRule="auto"/>
        <w:ind w:left="83.09436798095703" w:right="282.600097656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2592324" cy="2664333"/>
            <wp:effectExtent b="0" l="0" r="0" t="0"/>
            <wp:docPr id="20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2324" cy="266433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3030474" cy="2764663"/>
            <wp:effectExtent b="0" l="0" r="0" t="0"/>
            <wp:docPr id="14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0474" cy="27646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2736342" cy="2867025"/>
            <wp:effectExtent b="0" l="0" r="0" t="0"/>
            <wp:docPr id="1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6342" cy="2867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3528441" cy="2653665"/>
            <wp:effectExtent b="0" l="0" r="0" t="0"/>
            <wp:docPr id="15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28441" cy="26536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.04800415039062"/>
          <w:szCs w:val="96.04800415039062"/>
          <w:u w:val="none"/>
          <w:shd w:fill="auto" w:val="clear"/>
          <w:vertAlign w:val="baseline"/>
        </w:rPr>
        <w:drawing>
          <wp:inline distB="19050" distT="19050" distL="19050" distR="19050">
            <wp:extent cx="4981575" cy="2781300"/>
            <wp:effectExtent b="0" l="0" r="0" t="0"/>
            <wp:docPr id="11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781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614.80293273925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Démarche diagnostique </w:t>
      </w:r>
    </w:p>
    <w:p w:rsidR="00000000" w:rsidDel="00000000" w:rsidP="00000000" w:rsidRDefault="00000000" w:rsidRPr="00000000" w14:paraId="000000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6.226806640625" w:line="240" w:lineRule="auto"/>
        <w:ind w:left="584.956817626953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Interrogatoire 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3.9056396484375" w:line="287.48019218444824" w:lineRule="auto"/>
        <w:ind w:left="584.9568176269531" w:right="3166.458740234375" w:firstLine="0.02540588378906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313.00559997558594" w:right="0" w:header="0" w:footer="720"/>
          <w:cols w:equalWidth="0" w:num="1">
            <w:col w:space="0" w:w="14086.994400024414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Diagnostic positif et signes de gravité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Signes orientant vers une étiologie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Examens para-cliniques</w:t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Interrogatoire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07.44689941406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8352917" cy="4608449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352917" cy="46084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495.80514907836914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Diagnostic positif et signes de gravité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  <w:drawing>
          <wp:inline distB="19050" distT="19050" distL="19050" distR="19050">
            <wp:extent cx="8064881" cy="4824475"/>
            <wp:effectExtent b="0" l="0" r="0" t="0"/>
            <wp:docPr id="19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064881" cy="4824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47.7990722656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  <w:drawing>
          <wp:inline distB="19050" distT="19050" distL="19050" distR="19050">
            <wp:extent cx="3744468" cy="2376297"/>
            <wp:effectExtent b="0" l="0" r="0" t="0"/>
            <wp:docPr id="21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44468" cy="23762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20001029968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Purpura  </w:t>
      </w:r>
    </w:p>
    <w:p w:rsidR="00000000" w:rsidDel="00000000" w:rsidP="00000000" w:rsidRDefault="00000000" w:rsidRPr="00000000" w14:paraId="000000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88018798828125" w:line="239.8714113235473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pustuleux distal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.04800033569336"/>
          <w:szCs w:val="36.04800033569336"/>
          <w:u w:val="none"/>
          <w:shd w:fill="auto" w:val="clear"/>
          <w:vertAlign w:val="baseline"/>
          <w:rtl w:val="0"/>
        </w:rPr>
        <w:t xml:space="preserve">évocateur de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septicémie ou  endocardite 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5.1905536651611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1440" w:right="1440" w:header="0" w:footer="720"/>
          <w:cols w:equalWidth="0" w:num="1">
            <w:col w:space="0" w:w="1152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96"/>
          <w:szCs w:val="96"/>
          <w:u w:val="none"/>
          <w:shd w:fill="auto" w:val="clear"/>
          <w:vertAlign w:val="baseline"/>
          <w:rtl w:val="0"/>
        </w:rPr>
        <w:t xml:space="preserve">Purpura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  <w:rtl w:val="0"/>
        </w:rPr>
        <w:t xml:space="preserve">Purpura fulminans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  <w:drawing>
          <wp:inline distB="19050" distT="19050" distL="19050" distR="19050">
            <wp:extent cx="2597277" cy="219075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7277" cy="2190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  <w:drawing>
          <wp:inline distB="19050" distT="19050" distL="19050" distR="19050">
            <wp:extent cx="2171700" cy="2543175"/>
            <wp:effectExtent b="0" l="0" r="0" t="0"/>
            <wp:docPr id="1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695.4098510742188" w:lineRule="auto"/>
        <w:ind w:left="423.2743835449219" w:right="736.319580078125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Signes orientant vers une étiologie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  <w:drawing>
          <wp:inline distB="19050" distT="19050" distL="19050" distR="19050">
            <wp:extent cx="8208898" cy="2518918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08898" cy="25189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662.76954650878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  <w:rtl w:val="0"/>
        </w:rPr>
        <w:t xml:space="preserve">Examens para-cliniques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7.1063232421875" w:line="219.14105415344238" w:lineRule="auto"/>
        <w:ind w:left="423.2743835449219" w:right="509.51904296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8280908" cy="3744468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80908" cy="37444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08000183105469"/>
          <w:szCs w:val="88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8352918" cy="844677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352918" cy="8446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1.600341796875" w:line="240" w:lineRule="auto"/>
        <w:ind w:left="0" w:right="1480.759277343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  <w:rtl w:val="0"/>
        </w:rPr>
        <w:t xml:space="preserve">Démarche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-6232296</wp:posOffset>
            </wp:positionH>
            <wp:positionV relativeFrom="paragraph">
              <wp:posOffset>-483615</wp:posOffset>
            </wp:positionV>
            <wp:extent cx="7992872" cy="6858000"/>
            <wp:effectExtent b="0" l="0" r="0" t="0"/>
            <wp:wrapSquare wrapText="bothSides" distB="19050" distT="19050" distL="19050" distR="1905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992872" cy="6858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2396240234375" w:line="239.90415573120117" w:lineRule="auto"/>
        <w:ind w:left="9465.95458984375" w:right="466.15966796875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48"/>
          <w:szCs w:val="48"/>
          <w:u w:val="none"/>
          <w:shd w:fill="auto" w:val="clear"/>
          <w:vertAlign w:val="baseline"/>
          <w:rtl w:val="0"/>
        </w:rPr>
        <w:t xml:space="preserve">diagnostique devant  un purpura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021.48200988769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Thrombopénies 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76.226806640625" w:line="241.13920211791992" w:lineRule="auto"/>
        <w:ind w:left="834.1675567626953" w:right="1048.199462890625" w:hanging="573.2107543945312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Baisse du chiffre de plaquettes &lt;150.000/mm3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}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70.2991867065429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313.00559997558594" w:right="0" w:header="0" w:footer="720"/>
          <w:cols w:equalWidth="0" w:num="1">
            <w:col w:space="0" w:w="14086.99440002441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2000579833984"/>
          <w:szCs w:val="79.92000579833984"/>
          <w:u w:val="none"/>
          <w:shd w:fill="auto" w:val="clear"/>
          <w:vertAlign w:val="baseline"/>
          <w:rtl w:val="0"/>
        </w:rPr>
        <w:t xml:space="preserve">Étiologies d’un purpura thrombopénique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83.93310546875" w:line="240" w:lineRule="auto"/>
        <w:ind w:left="903.87123107910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Origine Centrale </w:t>
      </w:r>
    </w:p>
    <w:p w:rsidR="00000000" w:rsidDel="00000000" w:rsidP="00000000" w:rsidRDefault="00000000" w:rsidRPr="00000000" w14:paraId="000000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3.78662109375" w:line="240" w:lineRule="auto"/>
        <w:ind w:left="27.360000610351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Acquis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: </w:t>
      </w:r>
    </w:p>
    <w:p w:rsidR="00000000" w:rsidDel="00000000" w:rsidP="00000000" w:rsidRDefault="00000000" w:rsidRPr="00000000" w14:paraId="000000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1.0400390625" w:line="239.86754894256592" w:lineRule="auto"/>
        <w:ind w:left="1.920013427734375" w:right="732.9803466796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 – Insuffisance médullaire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.04800033569336"/>
          <w:szCs w:val="48.04800033569336"/>
          <w:u w:val="none"/>
          <w:shd w:fill="auto" w:val="clear"/>
          <w:vertAlign w:val="baseline"/>
          <w:rtl w:val="0"/>
        </w:rPr>
        <w:t xml:space="preserve">globale (aplasie, leucémie,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carence B12, folates…)  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1.26495361328125" w:line="240.0289249420166" w:lineRule="auto"/>
        <w:ind w:left="573.1198883056641" w:right="1211.9598388671875" w:hanging="573.1198883056641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– Atteinte mégacaryocytes  (alcoolisme aigu, médica menteux, viral…)  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0.98236083984375" w:line="240" w:lineRule="auto"/>
        <w:ind w:left="47.0400238037109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Héréditaire 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.000244140625" w:line="240" w:lineRule="auto"/>
        <w:ind w:left="0" w:right="0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Origine périphérique 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4.5867919921875" w:line="240.32280921936035" w:lineRule="auto"/>
        <w:ind w:left="626.6680908203125" w:right="16.820068359375" w:hanging="568.54797363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6799850463867"/>
          <w:szCs w:val="43.9679985046386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• Hyperdestruction plaquettaire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:  immunologique (auto-immun :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6799850463867"/>
          <w:szCs w:val="43.96799850463867"/>
          <w:u w:val="none"/>
          <w:shd w:fill="auto" w:val="clear"/>
          <w:vertAlign w:val="baseline"/>
          <w:rtl w:val="0"/>
        </w:rPr>
        <w:t xml:space="preserve">PTI ou lupus ; immuno 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8626708984375" w:line="240.34103393554688" w:lineRule="auto"/>
        <w:ind w:left="635.0128173828125" w:right="509.853515625" w:hanging="17.12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allergique : héparine, quinine,  BZD…).  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.4296875" w:line="240.4321002960205" w:lineRule="auto"/>
        <w:ind w:left="617.8839111328125" w:right="125.992431640625" w:hanging="518.47900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Consommation plaquettaire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:  CIVD, infections (p.fulminans,  paludisme…), MAT (PTT ou SHU,  alcoolisme aigu. 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.18310546875" w:line="240" w:lineRule="auto"/>
        <w:ind w:left="197.80456542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Anomalie de répartition  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4534912109375" w:line="240" w:lineRule="auto"/>
        <w:ind w:left="626.6680908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</w:rPr>
        <w:sectPr>
          <w:type w:val="continuous"/>
          <w:pgSz w:h="10800" w:w="14400" w:orient="landscape"/>
          <w:pgMar w:bottom="1.2208000043756329E-4" w:top="0" w:left="862.0800018310547" w:right="474.739990234375" w:header="0" w:footer="720"/>
          <w:cols w:equalWidth="0" w:num="2">
            <w:col w:space="0" w:w="6540"/>
            <w:col w:space="0" w:w="654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3.91999816894531"/>
          <w:szCs w:val="43.91999816894531"/>
          <w:u w:val="none"/>
          <w:shd w:fill="auto" w:val="clear"/>
          <w:vertAlign w:val="baseline"/>
          <w:rtl w:val="0"/>
        </w:rPr>
        <w:t xml:space="preserve">(hypersplénisme, dilution…).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337.21229553222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Étiologies d’un purpura vasculaire 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4.0533447265625" w:line="240" w:lineRule="auto"/>
        <w:ind w:left="550.994415283203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08000183105469"/>
          <w:szCs w:val="46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79.96800994873047"/>
          <w:szCs w:val="79.9680099487304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08000183105469"/>
          <w:szCs w:val="46.08000183105469"/>
          <w:u w:val="none"/>
          <w:shd w:fill="auto" w:val="clear"/>
          <w:vertAlign w:val="baseline"/>
          <w:rtl w:val="0"/>
        </w:rPr>
        <w:t xml:space="preserve">Infectieux 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64550781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08000183105469"/>
          <w:szCs w:val="46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– P. fulminans méningococcique </w:t>
      </w:r>
    </w:p>
    <w:p w:rsidR="00000000" w:rsidDel="00000000" w:rsidP="00000000" w:rsidRDefault="00000000" w:rsidRPr="00000000" w14:paraId="000000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26623535156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– Septicémies à gram positif ou négatif  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26623535156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– Endocardite  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869873046875" w:line="240" w:lineRule="auto"/>
        <w:ind w:left="550.994415283203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12799835205078"/>
          <w:szCs w:val="46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12799835205078"/>
          <w:szCs w:val="46.12799835205078"/>
          <w:u w:val="none"/>
          <w:shd w:fill="auto" w:val="clear"/>
          <w:vertAlign w:val="baseline"/>
          <w:rtl w:val="0"/>
        </w:rPr>
        <w:t xml:space="preserve">Origine immunologique  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566162109375" w:line="216.1410427093506" w:lineRule="auto"/>
        <w:ind w:left="550.9944152832031" w:right="1393.017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12799835205078"/>
          <w:szCs w:val="46.1279983520507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– Lupus, polyarthrite rhumatoïde, périartérite noueuse   – Médicaments (immunoallergique) : pénicilline, sulfamides,  gentamycine, triméthoprimesulfaméthoxazole ; AINS, aspirine ; acide  valproïque, carbamazépine ; amiodarone, furosémide, spironolactone ;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héparine …  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.7108764648437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– Purpura rhumatoïde  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6602783203125" w:line="240.52868843078613" w:lineRule="auto"/>
        <w:ind w:left="550.9944152832031" w:right="4091.617431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•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6.08000183105469"/>
          <w:szCs w:val="46.08000183105469"/>
          <w:u w:val="none"/>
          <w:shd w:fill="auto" w:val="clear"/>
          <w:vertAlign w:val="baseline"/>
          <w:rtl w:val="0"/>
        </w:rPr>
        <w:t xml:space="preserve">Fragilité capillaire acquise ou constitutionnelle 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– Purpura sénile  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.23107910156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– Corticothérapie, Cushing 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186584472656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– Diabète 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2262573242187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12799835205078"/>
          <w:szCs w:val="40.12799835205078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– Carence vitaminique C majeure  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2665405273437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– Amylose 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266387939453125" w:line="240" w:lineRule="auto"/>
        <w:ind w:left="550.994415283203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  <w:rtl w:val="0"/>
        </w:rPr>
        <w:t xml:space="preserve"> – Ehler Danlos ou syndrome de Marfan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10.15186309814453" w:lineRule="auto"/>
        <w:ind w:left="1899.71435546875" w:right="1076.400146484375" w:hanging="682.6400756835938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2952369" cy="4680458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52369" cy="468045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40.08000183105469"/>
          <w:szCs w:val="40.08000183105469"/>
          <w:u w:val="none"/>
          <w:shd w:fill="auto" w:val="clear"/>
          <w:vertAlign w:val="baseline"/>
        </w:rPr>
        <w:drawing>
          <wp:inline distB="19050" distT="19050" distL="19050" distR="19050">
            <wp:extent cx="3384423" cy="4608449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4423" cy="46084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Purpura vasculaire  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1217.35961914062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80"/>
          <w:szCs w:val="80"/>
          <w:u w:val="none"/>
          <w:shd w:fill="auto" w:val="clear"/>
          <w:vertAlign w:val="subscript"/>
          <w:rtl w:val="0"/>
        </w:rPr>
        <w:t xml:space="preserve">nécrotique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8"/>
          <w:szCs w:val="48"/>
          <w:u w:val="none"/>
          <w:shd w:fill="auto" w:val="clear"/>
          <w:vertAlign w:val="baseline"/>
          <w:rtl w:val="0"/>
        </w:rPr>
        <w:t xml:space="preserve">Purpura vasculaire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890.2817535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Traitement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93.826904296875" w:line="287.56256103515625" w:lineRule="auto"/>
        <w:ind w:left="550.9944152832031" w:right="3085.135498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ff0000"/>
          <w:sz w:val="88.12800598144531"/>
          <w:szCs w:val="88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Traitement en fonction de l’étiologie. 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Sont recommandés : 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6.79443359375" w:line="263.5286235809326" w:lineRule="auto"/>
        <w:ind w:left="550.9944152832031" w:right="1564.51660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le repos, l’éviction des facteurs favorisants, 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le traitement symptomatique tel que les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antalgiques.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.9014892578125" w:line="287.56287574768066" w:lineRule="auto"/>
        <w:ind w:left="550.9944152832031" w:right="3724.6557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08000183105469"/>
          <w:szCs w:val="64.08000183105469"/>
          <w:u w:val="none"/>
          <w:shd w:fill="auto" w:val="clear"/>
          <w:vertAlign w:val="baseline"/>
          <w:rtl w:val="0"/>
        </w:rPr>
        <w:t xml:space="preserve"> Parfois :Corticothérapie: PTI, Lupus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64.12800598144531"/>
          <w:szCs w:val="64.12800598144531"/>
          <w:u w:val="none"/>
          <w:shd w:fill="auto" w:val="clear"/>
          <w:vertAlign w:val="baseline"/>
          <w:rtl w:val="0"/>
        </w:rPr>
        <w:t xml:space="preserve">Immunoglobulines: PTI</w:t>
      </w:r>
    </w:p>
    <w:sectPr>
      <w:type w:val="continuous"/>
      <w:pgSz w:h="10800" w:w="14400" w:orient="landscape"/>
      <w:pgMar w:bottom="1.2208000043756329E-4" w:top="0" w:left="313.00559997558594" w:right="0" w:header="0" w:footer="720"/>
      <w:cols w:equalWidth="0" w:num="1">
        <w:col w:space="0" w:w="14086.994400024414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3.png"/><Relationship Id="rId22" Type="http://schemas.openxmlformats.org/officeDocument/2006/relationships/image" Target="media/image6.png"/><Relationship Id="rId21" Type="http://schemas.openxmlformats.org/officeDocument/2006/relationships/image" Target="media/image10.png"/><Relationship Id="rId24" Type="http://schemas.openxmlformats.org/officeDocument/2006/relationships/image" Target="media/image4.png"/><Relationship Id="rId23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0.png"/><Relationship Id="rId26" Type="http://schemas.openxmlformats.org/officeDocument/2006/relationships/image" Target="media/image2.png"/><Relationship Id="rId25" Type="http://schemas.openxmlformats.org/officeDocument/2006/relationships/image" Target="media/image5.png"/><Relationship Id="rId27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9.png"/><Relationship Id="rId7" Type="http://schemas.openxmlformats.org/officeDocument/2006/relationships/image" Target="media/image11.png"/><Relationship Id="rId8" Type="http://schemas.openxmlformats.org/officeDocument/2006/relationships/image" Target="media/image17.png"/><Relationship Id="rId11" Type="http://schemas.openxmlformats.org/officeDocument/2006/relationships/image" Target="media/image15.png"/><Relationship Id="rId10" Type="http://schemas.openxmlformats.org/officeDocument/2006/relationships/image" Target="media/image14.png"/><Relationship Id="rId13" Type="http://schemas.openxmlformats.org/officeDocument/2006/relationships/image" Target="media/image8.png"/><Relationship Id="rId12" Type="http://schemas.openxmlformats.org/officeDocument/2006/relationships/image" Target="media/image21.png"/><Relationship Id="rId15" Type="http://schemas.openxmlformats.org/officeDocument/2006/relationships/image" Target="media/image19.png"/><Relationship Id="rId14" Type="http://schemas.openxmlformats.org/officeDocument/2006/relationships/image" Target="media/image16.png"/><Relationship Id="rId17" Type="http://schemas.openxmlformats.org/officeDocument/2006/relationships/image" Target="media/image13.png"/><Relationship Id="rId16" Type="http://schemas.openxmlformats.org/officeDocument/2006/relationships/image" Target="media/image18.png"/><Relationship Id="rId19" Type="http://schemas.openxmlformats.org/officeDocument/2006/relationships/image" Target="media/image12.png"/><Relationship Id="rId18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